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E" w:rsidRPr="00A31ED0" w:rsidRDefault="00D75189" w:rsidP="00A31ED0">
      <w:pPr>
        <w:jc w:val="center"/>
        <w:rPr>
          <w:b/>
        </w:rPr>
      </w:pPr>
      <w:r>
        <w:rPr>
          <w:b/>
        </w:rPr>
        <w:t xml:space="preserve">  </w:t>
      </w:r>
      <w:r w:rsidR="00A31ED0" w:rsidRPr="00A31ED0">
        <w:rPr>
          <w:b/>
        </w:rPr>
        <w:t xml:space="preserve">                                                        CAMBOIS PRIMARY SCHOOL                                            </w:t>
      </w:r>
      <w:r w:rsidR="00A31ED0" w:rsidRPr="00A31ED0">
        <w:rPr>
          <w:b/>
          <w:noProof/>
          <w:lang w:eastAsia="en-GB"/>
        </w:rPr>
        <w:drawing>
          <wp:inline distT="0" distB="0" distL="0" distR="0" wp14:anchorId="568944BE" wp14:editId="6B1F1193">
            <wp:extent cx="948905" cy="94890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69" cy="94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ED0" w:rsidRDefault="00A2590F" w:rsidP="00A31ED0">
      <w:pPr>
        <w:jc w:val="center"/>
        <w:rPr>
          <w:b/>
          <w:u w:val="single"/>
        </w:rPr>
      </w:pPr>
      <w:r>
        <w:rPr>
          <w:b/>
          <w:u w:val="single"/>
        </w:rPr>
        <w:t xml:space="preserve">SCHOOL SPORTS FUNDING </w:t>
      </w:r>
      <w:r w:rsidR="000F091B">
        <w:rPr>
          <w:b/>
          <w:u w:val="single"/>
        </w:rPr>
        <w:t xml:space="preserve">April </w:t>
      </w:r>
      <w:r>
        <w:rPr>
          <w:b/>
          <w:u w:val="single"/>
        </w:rPr>
        <w:t>2017/</w:t>
      </w:r>
      <w:r w:rsidR="000F091B">
        <w:rPr>
          <w:b/>
          <w:u w:val="single"/>
        </w:rPr>
        <w:t xml:space="preserve"> April </w:t>
      </w:r>
      <w:r>
        <w:rPr>
          <w:b/>
          <w:u w:val="single"/>
        </w:rPr>
        <w:t>2018</w:t>
      </w:r>
      <w:r w:rsidR="00A31ED0" w:rsidRPr="00A31ED0">
        <w:rPr>
          <w:b/>
          <w:u w:val="single"/>
        </w:rPr>
        <w:t xml:space="preserve"> </w:t>
      </w:r>
      <w:r w:rsidR="000F091B">
        <w:rPr>
          <w:b/>
          <w:u w:val="single"/>
        </w:rPr>
        <w:t>– impact review</w:t>
      </w:r>
    </w:p>
    <w:tbl>
      <w:tblPr>
        <w:tblStyle w:val="TableGrid"/>
        <w:tblpPr w:leftFromText="180" w:rightFromText="180" w:vertAnchor="page" w:horzAnchor="margin" w:tblpXSpec="center" w:tblpY="409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A31ED0" w:rsidRPr="00593942" w:rsidTr="00A31ED0">
        <w:tc>
          <w:tcPr>
            <w:tcW w:w="266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1ED0" w:rsidRPr="001B7C70" w:rsidRDefault="00A31ED0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effective uses identified by O</w:t>
            </w:r>
            <w:r>
              <w:rPr>
                <w:rFonts w:ascii="Arial" w:hAnsi="Arial" w:cs="Arial"/>
                <w:sz w:val="20"/>
                <w:szCs w:val="20"/>
              </w:rPr>
              <w:t>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Default="008E54E2" w:rsidP="008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(The difference it has made)</w:t>
            </w:r>
          </w:p>
          <w:p w:rsidR="008E54E2" w:rsidRPr="001B7C70" w:rsidRDefault="008E54E2" w:rsidP="00D751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will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updated  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impact is measured.</w:t>
            </w:r>
          </w:p>
        </w:tc>
      </w:tr>
      <w:tr w:rsidR="00A31ED0" w:rsidRPr="00593942" w:rsidTr="00A31ED0">
        <w:trPr>
          <w:trHeight w:val="64"/>
        </w:trPr>
        <w:tc>
          <w:tcPr>
            <w:tcW w:w="2660" w:type="dxa"/>
            <w:shd w:val="clear" w:color="auto" w:fill="auto"/>
          </w:tcPr>
          <w:p w:rsidR="00A31ED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A31ED0" w:rsidRPr="009A441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Partnership work on physical education with other schools and other local partners </w:t>
            </w:r>
          </w:p>
        </w:tc>
        <w:tc>
          <w:tcPr>
            <w:tcW w:w="1543" w:type="dxa"/>
            <w:shd w:val="clear" w:color="auto" w:fill="auto"/>
          </w:tcPr>
          <w:p w:rsidR="00A31ED0" w:rsidRDefault="00A31ED0" w:rsidP="00A31ED0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Membership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of networks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Attendance at PE Forums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– club Links data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Governors’ minutes / reports </w:t>
            </w:r>
          </w:p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Pr="001B7C7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A31ED0" w:rsidRDefault="00A31ED0" w:rsidP="00A31ED0">
            <w:pPr>
              <w:shd w:val="clear" w:color="auto" w:fill="FFFFFF"/>
              <w:ind w:left="33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9961E1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 w:rsidRPr="00D75189">
              <w:rPr>
                <w:rFonts w:ascii="Arial" w:hAnsi="Arial" w:cs="Arial"/>
                <w:sz w:val="18"/>
                <w:szCs w:val="18"/>
              </w:rPr>
              <w:t>Identify any new possible partnerships</w:t>
            </w:r>
            <w:r w:rsidR="00BD0783" w:rsidRPr="00D75189">
              <w:rPr>
                <w:rFonts w:ascii="Arial" w:hAnsi="Arial" w:cs="Arial"/>
                <w:sz w:val="18"/>
                <w:szCs w:val="18"/>
              </w:rPr>
              <w:t xml:space="preserve"> – li</w:t>
            </w:r>
            <w:r w:rsidR="00D75189" w:rsidRPr="00D75189">
              <w:rPr>
                <w:rFonts w:ascii="Arial" w:hAnsi="Arial" w:cs="Arial"/>
                <w:sz w:val="18"/>
                <w:szCs w:val="18"/>
              </w:rPr>
              <w:t xml:space="preserve">nk with schools outside of area </w:t>
            </w:r>
          </w:p>
          <w:p w:rsidR="00A2590F" w:rsidRDefault="00A2590F" w:rsidP="009961E1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 with NUFC and cross partnership events as well as local events.</w:t>
            </w:r>
          </w:p>
          <w:p w:rsidR="00A31ED0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A31ED0" w:rsidRPr="00593942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A31ED0" w:rsidRDefault="00A31ED0" w:rsidP="00A31ED0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:rsidR="00A31ED0" w:rsidRPr="00C74C3B" w:rsidRDefault="00A31ED0" w:rsidP="00A31ED0">
            <w:pPr>
              <w:pStyle w:val="NoSpacing"/>
              <w:numPr>
                <w:ilvl w:val="0"/>
                <w:numId w:val="10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C74C3B">
              <w:rPr>
                <w:rFonts w:ascii="Arial" w:hAnsi="Arial" w:cs="Arial"/>
                <w:sz w:val="18"/>
                <w:szCs w:val="18"/>
              </w:rPr>
              <w:t xml:space="preserve">Employing expert advice to evaluate </w:t>
            </w:r>
            <w:r w:rsidR="00094924">
              <w:rPr>
                <w:rFonts w:ascii="Arial" w:hAnsi="Arial" w:cs="Arial"/>
                <w:sz w:val="18"/>
                <w:szCs w:val="18"/>
              </w:rPr>
              <w:t>strengths and weaknesses in PE and Sport</w:t>
            </w:r>
            <w:r w:rsidRPr="00C74C3B">
              <w:rPr>
                <w:rFonts w:ascii="Arial" w:hAnsi="Arial" w:cs="Arial"/>
                <w:sz w:val="18"/>
                <w:szCs w:val="18"/>
              </w:rPr>
              <w:t xml:space="preserve"> and implement plans for improvement</w:t>
            </w:r>
          </w:p>
        </w:tc>
        <w:tc>
          <w:tcPr>
            <w:tcW w:w="1510" w:type="dxa"/>
            <w:shd w:val="clear" w:color="auto" w:fill="auto"/>
          </w:tcPr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EE2F16" w:rsidP="00A31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</w:t>
            </w:r>
            <w:r w:rsidR="00BD0783">
              <w:rPr>
                <w:rFonts w:ascii="Arial" w:hAnsi="Arial" w:cs="Arial"/>
                <w:sz w:val="18"/>
                <w:szCs w:val="18"/>
              </w:rPr>
              <w:t>000 to participate in CPD and also attend partnership events.</w:t>
            </w:r>
          </w:p>
          <w:p w:rsidR="00A2590F" w:rsidRPr="00593942" w:rsidRDefault="00A2590F" w:rsidP="00A31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 and supply cover for staff to take.</w:t>
            </w:r>
          </w:p>
        </w:tc>
        <w:tc>
          <w:tcPr>
            <w:tcW w:w="3483" w:type="dxa"/>
            <w:shd w:val="clear" w:color="auto" w:fill="auto"/>
          </w:tcPr>
          <w:p w:rsidR="00A31ED0" w:rsidRDefault="00A31ED0" w:rsidP="00A31ED0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0F091B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Successful link with NUFC and attended Girls and Boys cross school tournaments. (30 children participated)</w:t>
            </w:r>
          </w:p>
          <w:p w:rsidR="000F091B" w:rsidRDefault="000F091B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Attended Rugby festival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Cramlington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Rockets – 30 children attended KS2.</w:t>
            </w:r>
          </w:p>
          <w:p w:rsidR="000F091B" w:rsidRDefault="000F091B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 also 4 pupils now attending out of school clubs with these now.</w:t>
            </w:r>
          </w:p>
          <w:p w:rsidR="000F091B" w:rsidRDefault="000F091B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0F091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October – Tag rugby competition Ks2.</w:t>
            </w:r>
          </w:p>
          <w:p w:rsidR="006D0B5A" w:rsidRDefault="006D0B5A" w:rsidP="008E54E2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 w:rsidRPr="006D0B5A">
              <w:rPr>
                <w:rFonts w:ascii="Arial" w:hAnsi="Arial" w:cs="Arial"/>
                <w:b/>
                <w:sz w:val="18"/>
                <w:szCs w:val="18"/>
              </w:rPr>
              <w:t>SUSTAINABILITY/ NEXT STEPS</w:t>
            </w:r>
          </w:p>
          <w:p w:rsidR="006D0B5A" w:rsidRPr="006D0B5A" w:rsidRDefault="006D0B5A" w:rsidP="008E54E2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This will lead </w:t>
            </w:r>
            <w:proofErr w:type="spellStart"/>
            <w:r>
              <w:t>to</w:t>
            </w:r>
            <w:r>
              <w:t>sustainability</w:t>
            </w:r>
            <w:proofErr w:type="spellEnd"/>
            <w:r>
              <w:t xml:space="preserve"> as all staff will increase in confidence when delivering PE, sport and outdoor education both within and outside the curriculum. Subject leader is more confident in the role and is </w:t>
            </w:r>
            <w:r>
              <w:lastRenderedPageBreak/>
              <w:t>able to provide effective feedback, lead discussions and introduce new initiatives and ideas.</w:t>
            </w:r>
          </w:p>
          <w:p w:rsidR="006D0B5A" w:rsidRPr="00C74C3B" w:rsidRDefault="006D0B5A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4694"/>
        <w:gridCol w:w="2977"/>
        <w:gridCol w:w="1275"/>
        <w:gridCol w:w="2409"/>
      </w:tblGrid>
      <w:tr w:rsidR="00B979BA" w:rsidRPr="001B7C70" w:rsidTr="006327B7">
        <w:trPr>
          <w:trHeight w:val="275"/>
        </w:trPr>
        <w:tc>
          <w:tcPr>
            <w:tcW w:w="266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79BA" w:rsidRPr="001B7C70" w:rsidRDefault="00B979BA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4694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79BA" w:rsidRPr="00593942" w:rsidTr="006327B7">
        <w:trPr>
          <w:trHeight w:val="281"/>
        </w:trPr>
        <w:tc>
          <w:tcPr>
            <w:tcW w:w="2660" w:type="dxa"/>
            <w:shd w:val="clear" w:color="auto" w:fill="auto"/>
          </w:tcPr>
          <w:p w:rsidR="00B979BA" w:rsidRPr="001B7C7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979BA" w:rsidRPr="00A64889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7C70">
              <w:rPr>
                <w:rFonts w:ascii="Arial" w:hAnsi="Arial" w:cs="Arial"/>
                <w:b/>
                <w:i/>
                <w:sz w:val="18"/>
                <w:szCs w:val="18"/>
              </w:rPr>
              <w:t>Extra-Curricular</w:t>
            </w:r>
          </w:p>
          <w:p w:rsidR="00B979BA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979BA" w:rsidRPr="00593942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979BA" w:rsidRPr="00180A82" w:rsidRDefault="00B979BA" w:rsidP="009E29E7">
            <w:pPr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Lunchtime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Voice data</w:t>
            </w:r>
          </w:p>
          <w:p w:rsidR="008E54E2" w:rsidRPr="00593942" w:rsidRDefault="008E54E2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Numbers of children participating</w:t>
            </w:r>
          </w:p>
        </w:tc>
        <w:tc>
          <w:tcPr>
            <w:tcW w:w="4694" w:type="dxa"/>
          </w:tcPr>
          <w:p w:rsidR="00B979B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979BA" w:rsidRPr="00105E3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 xml:space="preserve">Review the quality of our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extra-curricular provision </w:t>
            </w:r>
            <w:r w:rsidRPr="00105E3A">
              <w:rPr>
                <w:rFonts w:ascii="Arial" w:hAnsi="Arial" w:cs="Arial"/>
                <w:sz w:val="18"/>
                <w:szCs w:val="18"/>
              </w:rPr>
              <w:t>including: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Range of activities offered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Ensure the enhancement and extension of our curriculum provision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Inclusion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promotion of active, healthy lifestyles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Quality and qualifications of staff providing the activity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The time of day when activities are offered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Access to facilities (on-site / 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ff-site)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Pupil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needs/interests (Pupil 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Voice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Partnerships and links with clubs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Talent provision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6327B7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Discussions with individual pupils and liaison with </w:t>
            </w:r>
            <w:r w:rsidRPr="00184B98">
              <w:rPr>
                <w:rFonts w:ascii="Arial" w:hAnsi="Arial" w:cs="Arial"/>
                <w:sz w:val="18"/>
                <w:szCs w:val="18"/>
              </w:rPr>
              <w:t>parents</w:t>
            </w:r>
            <w:r>
              <w:rPr>
                <w:rFonts w:ascii="Arial" w:hAnsi="Arial" w:cs="Arial"/>
                <w:sz w:val="18"/>
                <w:szCs w:val="18"/>
              </w:rPr>
              <w:t xml:space="preserve"> / carers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0783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NUFC – sports coaching, Family Learning Project, Stop Racism project and healthy lifestyles. </w:t>
            </w:r>
          </w:p>
          <w:p w:rsidR="00B979BA" w:rsidRPr="00593942" w:rsidRDefault="00BD0783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after school club to run all year.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 Build on the success of Anna Nicole Dance from last year and fro parent questionnaire and pupil voice and access more dance/ street dance clubs</w:t>
            </w:r>
          </w:p>
        </w:tc>
        <w:tc>
          <w:tcPr>
            <w:tcW w:w="2977" w:type="dxa"/>
          </w:tcPr>
          <w:p w:rsidR="00B979BA" w:rsidRPr="00A82622" w:rsidRDefault="00B979BA" w:rsidP="009E29E7">
            <w:pPr>
              <w:shd w:val="clear" w:color="auto" w:fill="FFFFFF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979BA" w:rsidRPr="00A82622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2622">
              <w:rPr>
                <w:rFonts w:ascii="Arial" w:hAnsi="Arial" w:cs="Arial"/>
                <w:sz w:val="18"/>
                <w:szCs w:val="18"/>
              </w:rPr>
              <w:t>Employing local coaches to provide extra-curricular sporting opportunities</w:t>
            </w:r>
          </w:p>
          <w:p w:rsidR="00B979BA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F34B39">
              <w:rPr>
                <w:rFonts w:ascii="Arial" w:hAnsi="Arial" w:cs="Arial"/>
                <w:sz w:val="18"/>
                <w:szCs w:val="18"/>
              </w:rPr>
              <w:t>Employing expert advice to evaluate strengths and weaknesses in PESS and implement plans for improvement</w:t>
            </w:r>
          </w:p>
          <w:p w:rsidR="00B979BA" w:rsidRPr="00F34B39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accessing different sports clubs as isolated area and not many places locally to go to.</w:t>
            </w:r>
          </w:p>
        </w:tc>
        <w:tc>
          <w:tcPr>
            <w:tcW w:w="1275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593942" w:rsidRDefault="00A2590F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</w:t>
            </w:r>
            <w:r w:rsidR="00BD078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club KS2 – KS1 and EYFS throughout the year</w:t>
            </w: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pupils per week</w:t>
            </w: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pupil invited to NUFC academy and also one EYFS pupil selected for mini Magpies as a result of this.</w:t>
            </w: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Dance Club – Autumn term</w:t>
            </w: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ages – 20 pupils per week for six weeks</w:t>
            </w: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Rugby – Ks2 and Ks1 all year. Average 10 pupils each week. (4 children attend this club at weekends now too)</w:t>
            </w: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 – Skills Ks1 – 12 weeks. NUFC 15 pupils</w:t>
            </w: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</w:p>
          <w:p w:rsidR="000F091B" w:rsidRDefault="000F091B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football for 10 weeks with parents and child after school.</w:t>
            </w:r>
          </w:p>
          <w:p w:rsidR="006D0B5A" w:rsidRDefault="006D0B5A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 w:rsidRPr="006D0B5A">
              <w:rPr>
                <w:rFonts w:ascii="Arial" w:hAnsi="Arial" w:cs="Arial"/>
                <w:b/>
                <w:sz w:val="18"/>
                <w:szCs w:val="18"/>
              </w:rPr>
              <w:t>SUSTAINABILITY/ NEXT STEPS</w:t>
            </w:r>
          </w:p>
          <w:p w:rsidR="006D0B5A" w:rsidRPr="008E54E2" w:rsidRDefault="006D0B5A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now skilled at leading clubs and established links with local clubs and signposting to keep this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going.</w:t>
            </w:r>
          </w:p>
        </w:tc>
      </w:tr>
    </w:tbl>
    <w:p w:rsidR="00A31ED0" w:rsidRDefault="00A31ED0" w:rsidP="00BD0783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74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D0783" w:rsidRPr="001B7C70" w:rsidTr="00BD0783">
        <w:trPr>
          <w:trHeight w:val="1828"/>
        </w:trPr>
        <w:tc>
          <w:tcPr>
            <w:tcW w:w="2660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D0783" w:rsidRPr="001B7C70" w:rsidRDefault="00BD0783" w:rsidP="00BD07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783" w:rsidRPr="001B7C70" w:rsidRDefault="00BD0783" w:rsidP="00BD0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783" w:rsidTr="00BD0783">
        <w:trPr>
          <w:trHeight w:val="2204"/>
        </w:trPr>
        <w:tc>
          <w:tcPr>
            <w:tcW w:w="2660" w:type="dxa"/>
            <w:shd w:val="clear" w:color="auto" w:fill="auto"/>
          </w:tcPr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BD0783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lastRenderedPageBreak/>
              <w:t xml:space="preserve">Participation and success in competitive school sports </w:t>
            </w:r>
          </w:p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Default"/>
              <w:spacing w:after="25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color w:val="auto"/>
                <w:sz w:val="18"/>
                <w:szCs w:val="18"/>
              </w:rPr>
              <w:t>(Includes increased numbers of pupils participating in an increased range of competitive opportunities as well as success in competitions)</w:t>
            </w:r>
          </w:p>
        </w:tc>
        <w:tc>
          <w:tcPr>
            <w:tcW w:w="1543" w:type="dxa"/>
            <w:shd w:val="clear" w:color="auto" w:fill="auto"/>
          </w:tcPr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Schools own data / registers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Calendar of events / fixture lists</w:t>
            </w:r>
          </w:p>
          <w:p w:rsidR="00BD0783" w:rsidRPr="00BD0783" w:rsidRDefault="00BD0783" w:rsidP="00BD0783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Review our strategy for engaging in competition</w:t>
            </w:r>
          </w:p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Engage with our School Games Organiser through the school sports partnership</w:t>
            </w:r>
          </w:p>
          <w:p w:rsidR="00BD0783" w:rsidRPr="00BD0783" w:rsidRDefault="00BD0783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Engage more staff / parents / volunteers / young leaders</w:t>
            </w:r>
          </w:p>
          <w:p w:rsidR="00D75189" w:rsidRPr="000F091B" w:rsidRDefault="00BD0783" w:rsidP="000F091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Improve links with other schools</w:t>
            </w:r>
          </w:p>
          <w:p w:rsidR="00D75189" w:rsidRPr="00D75189" w:rsidRDefault="00D75189" w:rsidP="00D75189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 school football team and play mini-tournaments in county and across county. </w:t>
            </w:r>
          </w:p>
          <w:p w:rsidR="00BD0783" w:rsidRPr="00BD0783" w:rsidRDefault="00D75189" w:rsidP="00D751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classes to take part in one sports participation and competitive competitions throughout the year with the Bedlington partnership.</w:t>
            </w:r>
          </w:p>
        </w:tc>
        <w:tc>
          <w:tcPr>
            <w:tcW w:w="3086" w:type="dxa"/>
          </w:tcPr>
          <w:p w:rsidR="00BD0783" w:rsidRPr="00BD0783" w:rsidRDefault="00BD0783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Paying staff or external sports coaches to run competitions, or to increase pupils’ participation in national school games competitions</w:t>
            </w:r>
          </w:p>
          <w:p w:rsidR="00BD0783" w:rsidRPr="00BD0783" w:rsidRDefault="00D75189" w:rsidP="00BD0783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mini bus now purchased to use to transport to a</w:t>
            </w:r>
            <w:r w:rsidR="000F091B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 events.</w:t>
            </w:r>
          </w:p>
        </w:tc>
        <w:tc>
          <w:tcPr>
            <w:tcW w:w="1510" w:type="dxa"/>
            <w:shd w:val="clear" w:color="auto" w:fill="auto"/>
          </w:tcPr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£ </w:t>
            </w:r>
            <w:r w:rsidR="00D75189">
              <w:rPr>
                <w:rFonts w:ascii="Arial" w:hAnsi="Arial" w:cs="Arial"/>
                <w:sz w:val="18"/>
                <w:szCs w:val="18"/>
              </w:rPr>
              <w:t>10</w:t>
            </w:r>
            <w:r w:rsidRPr="00BD0783">
              <w:rPr>
                <w:rFonts w:ascii="Arial" w:hAnsi="Arial" w:cs="Arial"/>
                <w:sz w:val="18"/>
                <w:szCs w:val="18"/>
              </w:rPr>
              <w:t>00.</w:t>
            </w:r>
          </w:p>
        </w:tc>
        <w:tc>
          <w:tcPr>
            <w:tcW w:w="3483" w:type="dxa"/>
            <w:shd w:val="clear" w:color="auto" w:fill="auto"/>
          </w:tcPr>
          <w:p w:rsidR="00BD0783" w:rsidRDefault="000F091B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football team established and new strips bought so we can attend events.</w:t>
            </w:r>
          </w:p>
          <w:p w:rsidR="000F091B" w:rsidRDefault="000F091B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Two members of staff attended specialist primary PE Stars training to develop skills.</w:t>
            </w:r>
          </w:p>
          <w:p w:rsidR="000F091B" w:rsidRDefault="000F091B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</w:p>
          <w:p w:rsidR="000F091B" w:rsidRDefault="000F091B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children now in football teams outside of school compared to 1 child.</w:t>
            </w:r>
          </w:p>
          <w:p w:rsidR="000F091B" w:rsidRDefault="000F091B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girls now taking part in a football team whereas they would not do PE before.</w:t>
            </w:r>
          </w:p>
          <w:p w:rsidR="000F091B" w:rsidRDefault="000F091B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</w:p>
          <w:p w:rsidR="006D0B5A" w:rsidRDefault="006D0B5A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 w:rsidRPr="006D0B5A">
              <w:rPr>
                <w:rFonts w:ascii="Arial" w:hAnsi="Arial" w:cs="Arial"/>
                <w:b/>
                <w:sz w:val="18"/>
                <w:szCs w:val="18"/>
              </w:rPr>
              <w:t>SUSTAINABILITY/ NEXT STEPS</w:t>
            </w:r>
          </w:p>
          <w:p w:rsidR="000F091B" w:rsidRDefault="006D0B5A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Encourage and sign post children to events and clubs</w:t>
            </w:r>
          </w:p>
          <w:p w:rsidR="006D0B5A" w:rsidRPr="00B979BA" w:rsidRDefault="006D0B5A" w:rsidP="00BD0783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 to allow staff time and importance of joining all partnership events. Having the mini bus means transport costs are low.</w:t>
            </w:r>
          </w:p>
        </w:tc>
      </w:tr>
      <w:tr w:rsidR="00BD0783" w:rsidRPr="00114081" w:rsidTr="00BD0783">
        <w:trPr>
          <w:trHeight w:val="3451"/>
        </w:trPr>
        <w:tc>
          <w:tcPr>
            <w:tcW w:w="2660" w:type="dxa"/>
            <w:shd w:val="clear" w:color="auto" w:fill="auto"/>
          </w:tcPr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b/>
                <w:i/>
                <w:sz w:val="18"/>
                <w:szCs w:val="18"/>
              </w:rPr>
              <w:t>How much more inclusive the physical education curriculum has become?</w:t>
            </w: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How is the PE curriculum designed to meet needs of learners and improve levels of health and fitness?</w:t>
            </w:r>
          </w:p>
          <w:p w:rsid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F091B" w:rsidRPr="00BD0783" w:rsidRDefault="000F091B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D0783" w:rsidRPr="00BD0783" w:rsidRDefault="00BD0783" w:rsidP="00BD07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lastRenderedPageBreak/>
              <w:t>Curriculum plan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Long, medium and short-Term plans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Pupil Progress Reports (The progress pupils make relative to their starting points, ability and age)</w:t>
            </w:r>
          </w:p>
        </w:tc>
        <w:tc>
          <w:tcPr>
            <w:tcW w:w="327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Review the quality of our curriculum including: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Breadth and Balance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Accessibility of all the activities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 xml:space="preserve">Quality of teaching and learning                  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Access to facilities / resources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Pupil Needs (Pupil Voice)</w:t>
            </w:r>
          </w:p>
          <w:p w:rsidR="00BD0783" w:rsidRPr="00BD0783" w:rsidRDefault="00BD0783" w:rsidP="00BD078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BD0783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Discussions with individual pupils and liaison with parents / carers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Check equipment to ensure it meets the needs of our pupils</w:t>
            </w:r>
          </w:p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Lead PE specialist in school to work with the specialist teachers to design new curriculum and improve their own skills.</w:t>
            </w:r>
          </w:p>
          <w:p w:rsidR="006327B7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Design a curriculum around the needs of the children and the priori</w:t>
            </w:r>
            <w:r w:rsidR="006327B7">
              <w:rPr>
                <w:rFonts w:ascii="Arial" w:hAnsi="Arial" w:cs="Arial"/>
                <w:sz w:val="18"/>
                <w:szCs w:val="18"/>
              </w:rPr>
              <w:t>ti</w:t>
            </w:r>
            <w:r w:rsidRPr="00BD0783">
              <w:rPr>
                <w:rFonts w:ascii="Arial" w:hAnsi="Arial" w:cs="Arial"/>
                <w:sz w:val="18"/>
                <w:szCs w:val="18"/>
              </w:rPr>
              <w:t xml:space="preserve">es in relation to health and well-being. </w:t>
            </w:r>
          </w:p>
          <w:p w:rsidR="006327B7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lastRenderedPageBreak/>
              <w:t xml:space="preserve">Cycling to be </w:t>
            </w:r>
            <w:r w:rsidR="006327B7">
              <w:rPr>
                <w:rFonts w:ascii="Arial" w:hAnsi="Arial" w:cs="Arial"/>
                <w:sz w:val="18"/>
                <w:szCs w:val="18"/>
              </w:rPr>
              <w:t>a part of the curriculum with Cycling North east</w:t>
            </w:r>
            <w:r w:rsidRPr="00BD0783">
              <w:rPr>
                <w:rFonts w:ascii="Arial" w:hAnsi="Arial" w:cs="Arial"/>
                <w:sz w:val="18"/>
                <w:szCs w:val="18"/>
              </w:rPr>
              <w:t>. Following success last year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Relax Kids</w:t>
            </w:r>
            <w:r w:rsidR="00BD0783">
              <w:rPr>
                <w:rFonts w:ascii="Arial" w:hAnsi="Arial" w:cs="Arial"/>
                <w:sz w:val="18"/>
                <w:szCs w:val="18"/>
              </w:rPr>
              <w:t xml:space="preserve"> sessions for the whole school to build on the work from last year and SEMH and promoting </w:t>
            </w:r>
            <w:r w:rsidR="00EB04FE">
              <w:rPr>
                <w:rFonts w:ascii="Arial" w:hAnsi="Arial" w:cs="Arial"/>
                <w:sz w:val="18"/>
                <w:szCs w:val="18"/>
              </w:rPr>
              <w:t>health</w:t>
            </w:r>
            <w:r w:rsidR="00BD0783">
              <w:rPr>
                <w:rFonts w:ascii="Arial" w:hAnsi="Arial" w:cs="Arial"/>
                <w:sz w:val="18"/>
                <w:szCs w:val="18"/>
              </w:rPr>
              <w:t xml:space="preserve"> and well-being through exercise.</w:t>
            </w:r>
          </w:p>
          <w:p w:rsidR="00EB04FE" w:rsidRDefault="00EB04FE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Build on the success and participation through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Cramlington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Rockets work from last year and have one afternoon per week specialist support.</w:t>
            </w:r>
          </w:p>
          <w:p w:rsidR="006327B7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6327B7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NUFC projects last year very successful and build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this by getting extra training for staff with them and also by having a specialist train and work alongside staff one afte</w:t>
            </w:r>
            <w:r w:rsidR="00EE2F16">
              <w:rPr>
                <w:rFonts w:ascii="Arial" w:hAnsi="Arial" w:cs="Arial"/>
                <w:sz w:val="18"/>
                <w:szCs w:val="18"/>
              </w:rPr>
              <w:t>rnoon per week all year round</w:t>
            </w:r>
          </w:p>
        </w:tc>
        <w:tc>
          <w:tcPr>
            <w:tcW w:w="3086" w:type="dxa"/>
          </w:tcPr>
          <w:p w:rsidR="00BD0783" w:rsidRPr="00BD0783" w:rsidRDefault="00BD0783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D0783" w:rsidRPr="00BD0783" w:rsidRDefault="00BD0783" w:rsidP="00BD0783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>Employing a specialist teacher to lead after-school clubs.</w:t>
            </w:r>
          </w:p>
          <w:p w:rsidR="00BD0783" w:rsidRPr="00BD0783" w:rsidRDefault="00BD0783" w:rsidP="00BD0783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D0783">
              <w:rPr>
                <w:rFonts w:ascii="Arial" w:hAnsi="Arial" w:cs="Arial"/>
                <w:sz w:val="18"/>
                <w:szCs w:val="18"/>
              </w:rPr>
              <w:t xml:space="preserve">Employing expert advice to evaluate strengths and weaknesses in PE and sports and implement plans for improvement. </w:t>
            </w:r>
          </w:p>
        </w:tc>
        <w:tc>
          <w:tcPr>
            <w:tcW w:w="1510" w:type="dxa"/>
            <w:shd w:val="clear" w:color="auto" w:fill="auto"/>
          </w:tcPr>
          <w:p w:rsidR="00BD0783" w:rsidRP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783" w:rsidRDefault="006327B7" w:rsidP="00BD0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£3000</w:t>
            </w:r>
            <w:r w:rsidR="00BD0783" w:rsidRPr="00BD0783">
              <w:rPr>
                <w:rFonts w:ascii="Arial" w:hAnsi="Arial" w:cs="Arial"/>
                <w:sz w:val="18"/>
                <w:szCs w:val="18"/>
              </w:rPr>
              <w:t>.</w:t>
            </w:r>
            <w:r w:rsidR="00BD0783">
              <w:rPr>
                <w:rFonts w:ascii="Arial" w:hAnsi="Arial" w:cs="Arial"/>
                <w:sz w:val="18"/>
                <w:szCs w:val="18"/>
              </w:rPr>
              <w:t>for Cycling project</w:t>
            </w:r>
          </w:p>
          <w:p w:rsidR="00BD0783" w:rsidRDefault="00BD0783" w:rsidP="00BD07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7B7" w:rsidRDefault="00D75189" w:rsidP="00632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EE2F16">
              <w:rPr>
                <w:rFonts w:ascii="Arial" w:hAnsi="Arial" w:cs="Arial"/>
                <w:sz w:val="18"/>
                <w:szCs w:val="18"/>
              </w:rPr>
              <w:t>15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00 for Relax kids sessions for all year groups </w:t>
            </w:r>
          </w:p>
          <w:p w:rsidR="006327B7" w:rsidRDefault="006327B7" w:rsidP="00632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7B7" w:rsidRDefault="006327B7" w:rsidP="00632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£2500 for NUFC programme and a coach one afternoon per week.</w:t>
            </w:r>
            <w:r w:rsidR="00EE2F16">
              <w:rPr>
                <w:rFonts w:ascii="Arial" w:hAnsi="Arial" w:cs="Arial"/>
                <w:sz w:val="18"/>
                <w:szCs w:val="18"/>
              </w:rPr>
              <w:t xml:space="preserve"> Increased to £6500 from Sept 2017 so 7/12 of year at this increased cost for increased time and participation in </w:t>
            </w:r>
            <w:r w:rsidR="00EE2F16">
              <w:rPr>
                <w:rFonts w:ascii="Arial" w:hAnsi="Arial" w:cs="Arial"/>
                <w:sz w:val="18"/>
                <w:szCs w:val="18"/>
              </w:rPr>
              <w:lastRenderedPageBreak/>
              <w:t>the Primary Stars programme.</w:t>
            </w:r>
          </w:p>
          <w:p w:rsidR="006327B7" w:rsidRDefault="006327B7" w:rsidP="00632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7B7" w:rsidRPr="00BD0783" w:rsidRDefault="00EE2F16" w:rsidP="00632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  <w:r w:rsidR="006327B7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="006327B7">
              <w:rPr>
                <w:rFonts w:ascii="Arial" w:hAnsi="Arial" w:cs="Arial"/>
                <w:sz w:val="18"/>
                <w:szCs w:val="18"/>
              </w:rPr>
              <w:t>Cramlington</w:t>
            </w:r>
            <w:proofErr w:type="spellEnd"/>
            <w:r w:rsidR="006327B7">
              <w:rPr>
                <w:rFonts w:ascii="Arial" w:hAnsi="Arial" w:cs="Arial"/>
                <w:sz w:val="18"/>
                <w:szCs w:val="18"/>
              </w:rPr>
              <w:t xml:space="preserve"> Rockets for rugby and fitness coaching</w:t>
            </w:r>
          </w:p>
          <w:p w:rsidR="00EB04FE" w:rsidRPr="00BD0783" w:rsidRDefault="00EB04FE" w:rsidP="00BD07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shd w:val="clear" w:color="auto" w:fill="auto"/>
          </w:tcPr>
          <w:p w:rsidR="00BD0783" w:rsidRDefault="000F091B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Relax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kids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sessions and yoga for year ¾ and year ½ all year. Targeted key children for core mobility work.</w:t>
            </w:r>
          </w:p>
          <w:p w:rsidR="000F091B" w:rsidRDefault="000F091B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long term plan developed and progressive in skills and fundamental movements across the whole school. Links with professionals and CPD of staff. All staff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take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active role in planning and teaching of specialist led sessions to develop their own skills and competencies.</w:t>
            </w:r>
          </w:p>
          <w:p w:rsidR="000F091B" w:rsidRDefault="000F091B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F091B" w:rsidRDefault="000F091B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Cycling – less effective this year due to the weather and also a long term sickness. Need to review this next academic year and assess the needs and interests of the children.</w:t>
            </w:r>
          </w:p>
          <w:p w:rsidR="000F091B" w:rsidRDefault="000F091B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F091B" w:rsidRDefault="000F091B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Increased NUFC provision to two afternoons a week to build in a lunchtime club and also to ensure all classes had equal access. Children have visited the ground and taken part in class based lessons on healthy eating as well as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inclusivity and tackling racism in sport.</w:t>
            </w:r>
          </w:p>
          <w:p w:rsidR="000F091B" w:rsidRDefault="000F091B" w:rsidP="00BD07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F091B" w:rsidRDefault="000F091B" w:rsidP="000F09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pupils (apart from 2 year old provision and 2 children in Nursery) can ride a bike without training wheels. </w:t>
            </w:r>
          </w:p>
          <w:p w:rsidR="00EE2F16" w:rsidRDefault="00EE2F16" w:rsidP="000F09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E2F16" w:rsidRDefault="00EE2F16" w:rsidP="000F09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Links across the curriculum for NUFC and journalistic writing unit working in school English lessons and also a visit to St James about other careers in sport.</w:t>
            </w:r>
          </w:p>
          <w:p w:rsidR="006D0B5A" w:rsidRDefault="006D0B5A" w:rsidP="000F09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D0B5A" w:rsidRDefault="006D0B5A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 w:rsidRPr="006D0B5A">
              <w:rPr>
                <w:rFonts w:ascii="Arial" w:hAnsi="Arial" w:cs="Arial"/>
                <w:b/>
                <w:sz w:val="18"/>
                <w:szCs w:val="18"/>
              </w:rPr>
              <w:t>SUSTAINABILITY/ NEXT STEPS</w:t>
            </w:r>
          </w:p>
          <w:p w:rsidR="006D0B5A" w:rsidRPr="00114081" w:rsidRDefault="006D0B5A" w:rsidP="000F09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Long term plan now in place – staff expertise in delivery of the fundamental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curriculum  all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 place and as they have worked alongside the experts they have developed their own skills.</w:t>
            </w:r>
          </w:p>
        </w:tc>
      </w:tr>
    </w:tbl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294"/>
        <w:gridCol w:w="2946"/>
        <w:gridCol w:w="2847"/>
        <w:gridCol w:w="2711"/>
        <w:gridCol w:w="1548"/>
        <w:gridCol w:w="3105"/>
      </w:tblGrid>
      <w:tr w:rsidR="003A7451" w:rsidTr="003A7451">
        <w:tc>
          <w:tcPr>
            <w:tcW w:w="2552" w:type="dxa"/>
          </w:tcPr>
          <w:p w:rsidR="003A7451" w:rsidRPr="003A7451" w:rsidRDefault="003A7451" w:rsidP="003A7451">
            <w:pPr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Area of Focus 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Evidence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t>(Sign-posts to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t>our sources of evidence)</w:t>
            </w:r>
          </w:p>
        </w:tc>
        <w:tc>
          <w:tcPr>
            <w:tcW w:w="3261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Action Plan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t>(Based on our review, key actions identified to improve our provision)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Effective Use of the Funding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t>(Summary of what our funding has been used for, including effective uses identified by Ofsted*)</w:t>
            </w:r>
          </w:p>
        </w:tc>
        <w:tc>
          <w:tcPr>
            <w:tcW w:w="1559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Funding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Breakdown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t>(How much spent on each area)</w:t>
            </w:r>
          </w:p>
        </w:tc>
        <w:tc>
          <w:tcPr>
            <w:tcW w:w="3402" w:type="dxa"/>
          </w:tcPr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A745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Impact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A7451">
              <w:rPr>
                <w:rFonts w:ascii="Arial" w:hAnsi="Arial" w:cs="Arial"/>
                <w:sz w:val="20"/>
                <w:szCs w:val="20"/>
                <w:highlight w:val="cyan"/>
              </w:rPr>
              <w:t>(The difference it has made / will make)</w:t>
            </w: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  <w:p w:rsidR="003A7451" w:rsidRPr="003A7451" w:rsidRDefault="003A7451" w:rsidP="003A745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</w:tr>
      <w:tr w:rsidR="003A7451" w:rsidTr="003A7451">
        <w:tc>
          <w:tcPr>
            <w:tcW w:w="2552" w:type="dxa"/>
          </w:tcPr>
          <w:p w:rsidR="003A7451" w:rsidRDefault="003A7451" w:rsidP="003A74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SWIMMING </w:t>
            </w:r>
          </w:p>
          <w:p w:rsidR="003A7451" w:rsidRPr="003A7451" w:rsidRDefault="003A7451" w:rsidP="003A7451">
            <w:r>
              <w:t>Increase the amount of children competently swimming</w:t>
            </w:r>
          </w:p>
        </w:tc>
        <w:tc>
          <w:tcPr>
            <w:tcW w:w="1559" w:type="dxa"/>
          </w:tcPr>
          <w:p w:rsidR="003A7451" w:rsidRDefault="003A7451" w:rsidP="003A7451">
            <w:pPr>
              <w:rPr>
                <w:b/>
                <w:u w:val="single"/>
              </w:rPr>
            </w:pPr>
          </w:p>
          <w:p w:rsidR="003A7451" w:rsidRPr="003A7451" w:rsidRDefault="003A7451" w:rsidP="003A7451">
            <w:pPr>
              <w:pStyle w:val="ListParagraph"/>
              <w:numPr>
                <w:ilvl w:val="0"/>
                <w:numId w:val="5"/>
              </w:numPr>
            </w:pPr>
            <w:r w:rsidRPr="003A7451">
              <w:t>Swimming records and register</w:t>
            </w:r>
          </w:p>
          <w:p w:rsidR="003A7451" w:rsidRPr="003A7451" w:rsidRDefault="003A7451" w:rsidP="003A7451">
            <w:pPr>
              <w:pStyle w:val="ListParagraph"/>
              <w:numPr>
                <w:ilvl w:val="0"/>
                <w:numId w:val="5"/>
              </w:numPr>
            </w:pPr>
            <w:r w:rsidRPr="003A7451">
              <w:t>Copies of badges</w:t>
            </w:r>
          </w:p>
          <w:p w:rsidR="003A7451" w:rsidRPr="003A7451" w:rsidRDefault="003A7451" w:rsidP="003A7451">
            <w:pPr>
              <w:pStyle w:val="ListParagraph"/>
              <w:numPr>
                <w:ilvl w:val="0"/>
                <w:numId w:val="5"/>
              </w:numPr>
            </w:pPr>
            <w:r w:rsidRPr="003A7451">
              <w:t>Swimming files</w:t>
            </w:r>
          </w:p>
          <w:p w:rsidR="003A7451" w:rsidRDefault="003A7451" w:rsidP="003A7451">
            <w:pPr>
              <w:rPr>
                <w:b/>
                <w:u w:val="single"/>
              </w:rPr>
            </w:pPr>
          </w:p>
          <w:p w:rsidR="003A7451" w:rsidRDefault="003A7451" w:rsidP="003A7451">
            <w:pPr>
              <w:rPr>
                <w:b/>
                <w:u w:val="single"/>
              </w:rPr>
            </w:pPr>
          </w:p>
        </w:tc>
        <w:tc>
          <w:tcPr>
            <w:tcW w:w="3261" w:type="dxa"/>
          </w:tcPr>
          <w:p w:rsidR="003A7451" w:rsidRPr="003A7451" w:rsidRDefault="003A7451" w:rsidP="003A7451">
            <w:r>
              <w:t>To increase the water competence of children and the amount of children and time they get to swim from their basic entitlement.</w:t>
            </w:r>
          </w:p>
        </w:tc>
        <w:tc>
          <w:tcPr>
            <w:tcW w:w="3118" w:type="dxa"/>
          </w:tcPr>
          <w:p w:rsidR="003A7451" w:rsidRPr="003A7451" w:rsidRDefault="003A7451" w:rsidP="003A7451">
            <w:r>
              <w:t>Funding has been used to make sure a class go swimming all year round and the lesson time increased from half hour to one hour each week.</w:t>
            </w:r>
          </w:p>
        </w:tc>
        <w:tc>
          <w:tcPr>
            <w:tcW w:w="1559" w:type="dxa"/>
          </w:tcPr>
          <w:p w:rsidR="003A7451" w:rsidRPr="003A7451" w:rsidRDefault="003A7451" w:rsidP="003A7451">
            <w:r>
              <w:t xml:space="preserve">Additional </w:t>
            </w:r>
            <w:r w:rsidR="00EE2F16">
              <w:t>£2</w:t>
            </w:r>
            <w:r>
              <w:t>000 to go swimming all year and also for all classes to go</w:t>
            </w:r>
          </w:p>
        </w:tc>
        <w:tc>
          <w:tcPr>
            <w:tcW w:w="3402" w:type="dxa"/>
          </w:tcPr>
          <w:p w:rsidR="003A7451" w:rsidRDefault="003A7451" w:rsidP="003A7451">
            <w:r>
              <w:t xml:space="preserve">Current year 6 pupils of 8 children. </w:t>
            </w:r>
          </w:p>
          <w:p w:rsidR="003A7451" w:rsidRDefault="003A7451" w:rsidP="003A7451">
            <w:r>
              <w:t xml:space="preserve">Sept – 2 children at 25m + and using range of strokes and </w:t>
            </w:r>
            <w:r w:rsidR="00EE2F16">
              <w:t>styles.</w:t>
            </w:r>
          </w:p>
          <w:p w:rsidR="00EE2F16" w:rsidRDefault="00EE2F16" w:rsidP="003A7451">
            <w:r>
              <w:t>April 2018 – 5/8 children swim at least 25m with range of strokes and competencies. One child can swim 2000m plus and represents a swimming club.</w:t>
            </w:r>
          </w:p>
          <w:p w:rsidR="006D0B5A" w:rsidRDefault="006D0B5A" w:rsidP="006D0B5A">
            <w:pPr>
              <w:pStyle w:val="NoSpacing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 w:rsidRPr="006D0B5A">
              <w:rPr>
                <w:rFonts w:ascii="Arial" w:hAnsi="Arial" w:cs="Arial"/>
                <w:b/>
                <w:sz w:val="18"/>
                <w:szCs w:val="18"/>
              </w:rPr>
              <w:lastRenderedPageBreak/>
              <w:t>SUSTAINABILITY/ NEXT STEPS</w:t>
            </w:r>
          </w:p>
          <w:p w:rsidR="006D0B5A" w:rsidRPr="003A7451" w:rsidRDefault="006D0B5A" w:rsidP="003A7451">
            <w:r>
              <w:t>Make sure we get younger ones swimming earlier to ensure no confidence</w:t>
            </w:r>
            <w:bookmarkStart w:id="0" w:name="_GoBack"/>
            <w:bookmarkEnd w:id="0"/>
            <w:r>
              <w:t xml:space="preserve"> issues occur. Continue to go swimming all year. Mini bus saved money on this area.</w:t>
            </w:r>
          </w:p>
        </w:tc>
      </w:tr>
    </w:tbl>
    <w:p w:rsidR="00BD0783" w:rsidRDefault="00BD0783" w:rsidP="00FE64E8">
      <w:pPr>
        <w:rPr>
          <w:b/>
          <w:u w:val="single"/>
        </w:rPr>
      </w:pPr>
    </w:p>
    <w:p w:rsidR="00EE2F16" w:rsidRDefault="00EE2F16" w:rsidP="003A7451">
      <w:pPr>
        <w:tabs>
          <w:tab w:val="left" w:pos="2377"/>
        </w:tabs>
        <w:rPr>
          <w:b/>
        </w:rPr>
      </w:pPr>
    </w:p>
    <w:p w:rsidR="00A31ED0" w:rsidRPr="003A7451" w:rsidRDefault="00D75189" w:rsidP="003A7451">
      <w:pPr>
        <w:tabs>
          <w:tab w:val="left" w:pos="2377"/>
        </w:tabs>
        <w:rPr>
          <w:b/>
        </w:rPr>
      </w:pPr>
      <w:r w:rsidRPr="003A7451">
        <w:rPr>
          <w:b/>
        </w:rPr>
        <w:t xml:space="preserve">Total funding </w:t>
      </w:r>
      <w:r w:rsidR="003A7451" w:rsidRPr="003A7451">
        <w:rPr>
          <w:b/>
        </w:rPr>
        <w:t>– 5/12 of £8000 = £3333</w:t>
      </w:r>
    </w:p>
    <w:p w:rsidR="003A7451" w:rsidRPr="003A7451" w:rsidRDefault="003A7451" w:rsidP="003A7451">
      <w:pPr>
        <w:tabs>
          <w:tab w:val="left" w:pos="2377"/>
        </w:tabs>
        <w:rPr>
          <w:b/>
        </w:rPr>
      </w:pPr>
      <w:r w:rsidRPr="003A7451">
        <w:rPr>
          <w:b/>
        </w:rPr>
        <w:t>7/12 of £16000 = £9333</w:t>
      </w:r>
    </w:p>
    <w:p w:rsidR="003A7451" w:rsidRPr="003A7451" w:rsidRDefault="003A7451" w:rsidP="003A7451">
      <w:pPr>
        <w:tabs>
          <w:tab w:val="left" w:pos="2377"/>
        </w:tabs>
        <w:rPr>
          <w:b/>
        </w:rPr>
      </w:pPr>
      <w:r w:rsidRPr="003A7451">
        <w:rPr>
          <w:b/>
        </w:rPr>
        <w:t xml:space="preserve">= £12 666 + </w:t>
      </w:r>
      <w:r w:rsidR="00EE2F16" w:rsidRPr="003A7451">
        <w:t>pup</w:t>
      </w:r>
      <w:r w:rsidR="00EE2F16">
        <w:t>i</w:t>
      </w:r>
      <w:r w:rsidR="00EE2F16" w:rsidRPr="003A7451">
        <w:t>l</w:t>
      </w:r>
      <w:r w:rsidRPr="003A7451">
        <w:rPr>
          <w:b/>
        </w:rPr>
        <w:t xml:space="preserve"> premium entitlement = total of £12 9666</w:t>
      </w:r>
    </w:p>
    <w:p w:rsidR="003A7451" w:rsidRPr="003A7451" w:rsidRDefault="003A7451" w:rsidP="003A7451">
      <w:pPr>
        <w:tabs>
          <w:tab w:val="left" w:pos="2377"/>
        </w:tabs>
        <w:rPr>
          <w:b/>
        </w:rPr>
      </w:pPr>
    </w:p>
    <w:p w:rsidR="00D75189" w:rsidRPr="00BD0783" w:rsidRDefault="00D75189" w:rsidP="00BD0783">
      <w:pPr>
        <w:tabs>
          <w:tab w:val="left" w:pos="2377"/>
        </w:tabs>
      </w:pPr>
      <w:r>
        <w:t>Total Spend</w:t>
      </w:r>
      <w:r w:rsidR="003A7451">
        <w:t xml:space="preserve"> - </w:t>
      </w:r>
      <w:r>
        <w:t xml:space="preserve"> </w:t>
      </w:r>
      <w:r w:rsidR="00EE2F16">
        <w:t>£18  000 including additional swimming which does not come out of sports funding so in real terms £16000</w:t>
      </w:r>
    </w:p>
    <w:p w:rsidR="00B979BA" w:rsidRDefault="00B979BA" w:rsidP="00A31ED0">
      <w:pPr>
        <w:rPr>
          <w:b/>
          <w:u w:val="single"/>
        </w:rPr>
      </w:pPr>
    </w:p>
    <w:p w:rsidR="00B979BA" w:rsidRDefault="00B979BA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E54E2" w:rsidRPr="001B7C70" w:rsidTr="009E29E7">
        <w:tc>
          <w:tcPr>
            <w:tcW w:w="266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4924" w:rsidRPr="001B7C70" w:rsidRDefault="00094924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4E2" w:rsidRPr="00DF009F" w:rsidTr="009E29E7">
        <w:tc>
          <w:tcPr>
            <w:tcW w:w="2660" w:type="dxa"/>
            <w:shd w:val="clear" w:color="auto" w:fill="auto"/>
          </w:tcPr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Review the impact that the funding has had on other factors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Inspectors also take account of the following factor: 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The greater awareness amongst pupils about the dangers obesity, smoking and other such activities that undermine pupils’ health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8E54E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a</w:t>
            </w:r>
            <w:r w:rsidR="000949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Framework for Review to generate PESS Action Plan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PL Record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SMT QA strategies for planning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Lesson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93942">
              <w:rPr>
                <w:rFonts w:ascii="Arial" w:hAnsi="Arial" w:cs="Arial"/>
                <w:sz w:val="18"/>
                <w:szCs w:val="18"/>
              </w:rPr>
              <w:t>bservations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Pupil voice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Pupil progress (achievement and attainment) 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data (curriculum and extra-curricular)</w:t>
            </w:r>
          </w:p>
          <w:p w:rsidR="008E54E2" w:rsidRPr="0059394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E54E2" w:rsidRDefault="008E54E2" w:rsidP="009E29E7">
            <w:pPr>
              <w:pStyle w:val="ListParagraph"/>
              <w:ind w:left="33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 xml:space="preserve">On-going review of provision </w:t>
            </w:r>
            <w:r>
              <w:rPr>
                <w:rFonts w:ascii="Arial" w:hAnsi="Arial" w:cs="Arial"/>
                <w:sz w:val="18"/>
                <w:szCs w:val="18"/>
              </w:rPr>
              <w:t>for each of the following areas</w:t>
            </w:r>
            <w:r w:rsidRPr="00EC77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Achievement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Teaching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Behaviour and Safety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Leadership and Management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the curriculum</w:t>
            </w:r>
          </w:p>
          <w:p w:rsidR="008E54E2" w:rsidRPr="0033661F" w:rsidRDefault="008E54E2" w:rsidP="009E29E7">
            <w:pPr>
              <w:ind w:left="333" w:hanging="28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>On-going review of the profile of PESS</w:t>
            </w:r>
          </w:p>
          <w:p w:rsidR="008E54E2" w:rsidRPr="005E138E" w:rsidRDefault="008E54E2" w:rsidP="008E54E2">
            <w:pPr>
              <w:pStyle w:val="Default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5E138E">
              <w:rPr>
                <w:rFonts w:ascii="Arial" w:hAnsi="Arial" w:cs="Arial"/>
                <w:sz w:val="18"/>
                <w:szCs w:val="18"/>
              </w:rPr>
              <w:t>On-going review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5E138E">
              <w:rPr>
                <w:rFonts w:ascii="Arial" w:hAnsi="Arial" w:cs="Arial"/>
                <w:sz w:val="18"/>
                <w:szCs w:val="18"/>
              </w:rPr>
              <w:t xml:space="preserve"> impact on Professional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for PE and Sport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094924" w:rsidRPr="005E138E" w:rsidRDefault="00094924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leader to shadow and team teach with the specialist to gain practical ideas and improve own knowledge and expertise.</w:t>
            </w:r>
          </w:p>
          <w:p w:rsidR="008E54E2" w:rsidRPr="005E138E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9C5B1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E54E2" w:rsidRDefault="008E54E2" w:rsidP="009E29E7">
            <w:pPr>
              <w:pStyle w:val="ListParagraph"/>
              <w:ind w:left="316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mploying expert advice to evaluate the school’s current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provision 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strengths and </w:t>
            </w:r>
            <w:r>
              <w:rPr>
                <w:rFonts w:ascii="Arial" w:hAnsi="Arial" w:cs="Arial"/>
                <w:sz w:val="18"/>
                <w:szCs w:val="18"/>
              </w:rPr>
              <w:t>areas for development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evaluation tools to measure and monitor progress and impact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Securing time for the subject leader to undertake reviews and construct further development plans</w:t>
            </w:r>
          </w:p>
          <w:p w:rsidR="008E54E2" w:rsidRDefault="008E54E2" w:rsidP="009E29E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8E54E2" w:rsidRPr="0009465C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59394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</w:t>
            </w:r>
          </w:p>
        </w:tc>
        <w:tc>
          <w:tcPr>
            <w:tcW w:w="3483" w:type="dxa"/>
            <w:shd w:val="clear" w:color="auto" w:fill="auto"/>
          </w:tcPr>
          <w:p w:rsidR="008E54E2" w:rsidRDefault="008E54E2" w:rsidP="009E29E7">
            <w:pPr>
              <w:pStyle w:val="ListParagraph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E54E2" w:rsidRPr="008E54E2" w:rsidRDefault="008E54E2" w:rsidP="008E5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4E2" w:rsidRPr="00A31ED0" w:rsidRDefault="008E54E2" w:rsidP="00A31ED0">
      <w:pPr>
        <w:rPr>
          <w:b/>
          <w:u w:val="single"/>
        </w:rPr>
      </w:pPr>
    </w:p>
    <w:sectPr w:rsidR="008E54E2" w:rsidRPr="00A31ED0" w:rsidSect="00A31ED0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BB" w:rsidRDefault="00DA0BBB" w:rsidP="00B979BA">
      <w:pPr>
        <w:spacing w:after="0" w:line="240" w:lineRule="auto"/>
      </w:pPr>
      <w:r>
        <w:separator/>
      </w:r>
    </w:p>
  </w:endnote>
  <w:endnote w:type="continuationSeparator" w:id="0">
    <w:p w:rsidR="00DA0BBB" w:rsidRDefault="00DA0BBB" w:rsidP="00B9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BA" w:rsidRDefault="00B979BA">
    <w:pPr>
      <w:pStyle w:val="Footer"/>
    </w:pPr>
  </w:p>
  <w:p w:rsidR="00B979BA" w:rsidRDefault="00B979BA">
    <w:pPr>
      <w:pStyle w:val="Footer"/>
    </w:pPr>
  </w:p>
  <w:p w:rsidR="00B979BA" w:rsidRDefault="00B97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BB" w:rsidRDefault="00DA0BBB" w:rsidP="00B979BA">
      <w:pPr>
        <w:spacing w:after="0" w:line="240" w:lineRule="auto"/>
      </w:pPr>
      <w:r>
        <w:separator/>
      </w:r>
    </w:p>
  </w:footnote>
  <w:footnote w:type="continuationSeparator" w:id="0">
    <w:p w:rsidR="00DA0BBB" w:rsidRDefault="00DA0BBB" w:rsidP="00B9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6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5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D0"/>
    <w:rsid w:val="00094924"/>
    <w:rsid w:val="000F091B"/>
    <w:rsid w:val="001F5AC8"/>
    <w:rsid w:val="003A7451"/>
    <w:rsid w:val="003F14E5"/>
    <w:rsid w:val="006327B7"/>
    <w:rsid w:val="006D0B5A"/>
    <w:rsid w:val="00755CF5"/>
    <w:rsid w:val="008E54E2"/>
    <w:rsid w:val="00A13B8B"/>
    <w:rsid w:val="00A2590F"/>
    <w:rsid w:val="00A31ED0"/>
    <w:rsid w:val="00AD302E"/>
    <w:rsid w:val="00B257A4"/>
    <w:rsid w:val="00B979BA"/>
    <w:rsid w:val="00BD0783"/>
    <w:rsid w:val="00D75189"/>
    <w:rsid w:val="00DA0BBB"/>
    <w:rsid w:val="00EB04FE"/>
    <w:rsid w:val="00EE2F16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F35A-A033-4CD7-B32B-97B7541F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starfish</cp:lastModifiedBy>
  <cp:revision>3</cp:revision>
  <dcterms:created xsi:type="dcterms:W3CDTF">2018-06-03T18:20:00Z</dcterms:created>
  <dcterms:modified xsi:type="dcterms:W3CDTF">2018-06-03T18:24:00Z</dcterms:modified>
</cp:coreProperties>
</file>